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XO Thames" w:hAnsi="XO Thames"/>
        </w:rPr>
      </w:pPr>
      <w:r>
        <w:rPr>
          <w:rFonts w:ascii="XO Thames" w:hAnsi="XO Thames"/>
        </w:rPr>
        <w:t>Государственное бюджетное профессиональное образовательное учреждение Владимирской области</w:t>
      </w:r>
    </w:p>
    <w:p w14:paraId="02000000">
      <w:pPr>
        <w:pStyle w:val="Style_1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«МУРОМСКИЙ ПЕДАГОГИЧЕСКИЙ КОЛЛЕДЖ»</w:t>
      </w:r>
    </w:p>
    <w:p w14:paraId="03000000">
      <w:pPr>
        <w:pStyle w:val="Style_1"/>
        <w:ind w:firstLine="540"/>
        <w:jc w:val="both"/>
        <w:rPr>
          <w:rFonts w:ascii="XO Thames" w:hAnsi="XO Thames"/>
        </w:rPr>
      </w:pPr>
    </w:p>
    <w:p w14:paraId="04000000">
      <w:pPr>
        <w:pStyle w:val="Style_2"/>
        <w:ind/>
        <w:jc w:val="center"/>
        <w:rPr>
          <w:rFonts w:ascii="XO Thames" w:hAnsi="XO Thames"/>
        </w:rPr>
      </w:pPr>
      <w:bookmarkStart w:id="1" w:name="Par376"/>
      <w:bookmarkEnd w:id="1"/>
      <w:r>
        <w:rPr>
          <w:rFonts w:ascii="XO Thames" w:hAnsi="XO Thames"/>
        </w:rPr>
        <w:t>ПОКАЗАТЕЛИ</w:t>
      </w:r>
    </w:p>
    <w:p w14:paraId="05000000">
      <w:pPr>
        <w:pStyle w:val="Style_2"/>
        <w:ind/>
        <w:jc w:val="center"/>
        <w:rPr>
          <w:rFonts w:ascii="XO Thames" w:hAnsi="XO Thames"/>
        </w:rPr>
      </w:pPr>
      <w:r>
        <w:rPr>
          <w:rFonts w:ascii="XO Thames" w:hAnsi="XO Thames"/>
        </w:rPr>
        <w:t>ДЕЯТЕЛЬНОСТИ ПРОФЕССИОНАЛЬНОЙ ОБРАЗОВАТЕЛЬНОЙ ОРГАНИЗАЦИИ,</w:t>
      </w:r>
    </w:p>
    <w:p w14:paraId="06000000">
      <w:pPr>
        <w:pStyle w:val="Style_2"/>
        <w:ind/>
        <w:jc w:val="center"/>
        <w:rPr>
          <w:rFonts w:ascii="XO Thames" w:hAnsi="XO Thames"/>
        </w:rPr>
      </w:pPr>
      <w:r>
        <w:rPr>
          <w:rFonts w:ascii="XO Thames" w:hAnsi="XO Thames"/>
        </w:rPr>
        <w:t>ПОДЛЕЖАЩЕЙ САМООБСЛЕДОВАНИЮ</w:t>
      </w:r>
    </w:p>
    <w:p w14:paraId="07000000">
      <w:pPr>
        <w:pStyle w:val="Style_2"/>
        <w:ind/>
        <w:jc w:val="center"/>
        <w:rPr>
          <w:rFonts w:ascii="XO Thames" w:hAnsi="XO Thames"/>
        </w:rPr>
      </w:pPr>
      <w:r>
        <w:rPr>
          <w:rFonts w:ascii="XO Thames" w:hAnsi="XO Thames"/>
        </w:rPr>
        <w:t>ЗА 2024 год</w:t>
      </w:r>
    </w:p>
    <w:p w14:paraId="08000000">
      <w:pPr>
        <w:pStyle w:val="Style_1"/>
        <w:rPr>
          <w:rFonts w:ascii="XO Thames" w:hAnsi="XO Thames"/>
        </w:rPr>
      </w:pPr>
    </w:p>
    <w:tbl>
      <w:tblPr>
        <w:tblStyle w:val="Style_3"/>
        <w:tblW w:type="auto" w:w="0"/>
        <w:jc w:val="center"/>
        <w:tblInd w:type="dxa" w:w="0"/>
        <w:tblLayout w:type="fixed"/>
        <w:tblCellMar>
          <w:top w:type="dxa" w:w="113"/>
          <w:left w:type="dxa" w:w="113"/>
          <w:bottom w:type="dxa" w:w="113"/>
          <w:right w:type="dxa" w:w="113"/>
        </w:tblCellMar>
      </w:tblPr>
      <w:tblGrid>
        <w:gridCol w:w="10207"/>
      </w:tblGrid>
      <w:tr>
        <w:tc>
          <w:tcPr>
            <w:tcW w:type="dxa" w:w="10207"/>
            <w:tcBorders>
              <w:left w:color="CED3F1" w:sz="24" w:val="single"/>
              <w:right w:color="F4F3F8" w:sz="24" w:val="single"/>
            </w:tcBorders>
            <w:shd w:fill="F4F3F8" w:val="clear"/>
            <w:tcMar>
              <w:top w:type="dxa" w:w="113"/>
              <w:left w:type="dxa" w:w="113"/>
              <w:bottom w:type="dxa" w:w="113"/>
              <w:right w:type="dxa" w:w="113"/>
            </w:tcMar>
          </w:tcPr>
          <w:p w14:paraId="09000000">
            <w:pPr>
              <w:pStyle w:val="Style_1"/>
              <w:ind/>
              <w:jc w:val="center"/>
              <w:rPr>
                <w:rFonts w:ascii="XO Thames" w:hAnsi="XO Thames"/>
                <w:color w:val="392C69"/>
              </w:rPr>
            </w:pPr>
            <w:r>
              <w:rPr>
                <w:rFonts w:ascii="XO Thames" w:hAnsi="XO Thames"/>
                <w:color w:val="392C69"/>
              </w:rPr>
              <w:t>(в ред. Приказа Минобрнауки России от 15.02.2017 N 136)</w:t>
            </w:r>
          </w:p>
        </w:tc>
      </w:tr>
    </w:tbl>
    <w:p w14:paraId="0A000000">
      <w:pPr>
        <w:pStyle w:val="Style_1"/>
        <w:ind w:firstLine="540"/>
        <w:jc w:val="both"/>
        <w:rPr>
          <w:rFonts w:ascii="XO Thames" w:hAnsi="XO Thames"/>
        </w:rPr>
      </w:pPr>
    </w:p>
    <w:tbl>
      <w:tblPr>
        <w:tblStyle w:val="Style_3"/>
        <w:tblW w:type="auto" w:w="0"/>
        <w:jc w:val="left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63"/>
        <w:gridCol w:w="6689"/>
        <w:gridCol w:w="1417"/>
      </w:tblGrid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N п/п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Показатели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Единица измерения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pStyle w:val="Style_1"/>
              <w:numPr>
                <w:ilvl w:val="0"/>
                <w:numId w:val="0"/>
              </w:numPr>
              <w:ind w:firstLine="0" w:left="0"/>
              <w:jc w:val="center"/>
              <w:outlineLvl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Образовательная деятельность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pStyle w:val="Style_1"/>
              <w:ind/>
              <w:jc w:val="center"/>
              <w:rPr>
                <w:rFonts w:ascii="XO Thames" w:hAnsi="XO Thames"/>
              </w:rPr>
            </w:pP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1.1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1.1.1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 очной форме обучения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1.1.2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 очно-заочной форме обучения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1.1.3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 заочной форме обучения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1.2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889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1.2.1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 очной форме обучения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672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1.2.2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 очно-заочной форме обучения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1.2.3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 заочной форме обучения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217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1.3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 единиц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1.4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195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1.5</w:t>
            </w:r>
          </w:p>
        </w:tc>
        <w:tc>
          <w:tcPr>
            <w:tcW w:type="dxa" w:w="8106"/>
            <w:gridSpan w:val="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00000">
            <w:pPr>
              <w:pStyle w:val="Style_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Утратил силу. - Приказ Минобрнауки России от 15.02.2017 N 136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1.6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численности выпускников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162человек/95,3%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1.7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 численности студентов (курсантов)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человек/</w:t>
            </w:r>
          </w:p>
          <w:p w14:paraId="37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0%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1.8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Численность/удельный вес численности студентов (курсантов), обучающихся по очной форме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290 человек/ 43,1%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1.9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71человек/</w:t>
            </w:r>
          </w:p>
          <w:p w14:paraId="3E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57,2%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1.10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58 человек/</w:t>
            </w:r>
          </w:p>
          <w:p w14:paraId="42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81,6%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1.11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23 </w:t>
            </w:r>
            <w:r>
              <w:rPr>
                <w:rFonts w:ascii="XO Thames" w:hAnsi="XO Thames"/>
              </w:rPr>
              <w:t>человек/</w:t>
            </w:r>
          </w:p>
          <w:p w14:paraId="46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32,4 </w:t>
            </w:r>
            <w:r>
              <w:rPr>
                <w:rFonts w:ascii="XO Thames" w:hAnsi="XO Thames"/>
              </w:rPr>
              <w:t>%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1.11.1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Высшая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  <w:r>
              <w:rPr>
                <w:rFonts w:ascii="XO Thames" w:hAnsi="XO Thames"/>
              </w:rPr>
              <w:t xml:space="preserve"> человек/</w:t>
            </w:r>
          </w:p>
          <w:p w14:paraId="4A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9,8 </w:t>
            </w:r>
            <w:r>
              <w:rPr>
                <w:rFonts w:ascii="XO Thames" w:hAnsi="XO Thames"/>
              </w:rPr>
              <w:t>%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1.11.2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Первая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</w:t>
            </w:r>
            <w:r>
              <w:rPr>
                <w:rFonts w:ascii="XO Thames" w:hAnsi="XO Thames"/>
              </w:rPr>
              <w:t xml:space="preserve"> человек/</w:t>
            </w:r>
          </w:p>
          <w:p w14:paraId="4E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bookmarkStart w:id="2" w:name="_GoBack"/>
            <w:bookmarkEnd w:id="2"/>
            <w:r>
              <w:rPr>
                <w:rFonts w:ascii="XO Thames" w:hAnsi="XO Thames"/>
              </w:rPr>
              <w:t xml:space="preserve">22,5 </w:t>
            </w:r>
            <w:r>
              <w:rPr>
                <w:rFonts w:ascii="XO Thames" w:hAnsi="XO Thames"/>
              </w:rPr>
              <w:t>%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1.12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pStyle w:val="Style_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53 </w:t>
            </w:r>
            <w:r>
              <w:rPr>
                <w:rFonts w:ascii="XO Thames" w:hAnsi="XO Thames"/>
              </w:rPr>
              <w:t>человек/</w:t>
            </w:r>
          </w:p>
          <w:p w14:paraId="52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74,6</w:t>
            </w:r>
            <w:r>
              <w:rPr>
                <w:rFonts w:ascii="XO Thames" w:hAnsi="XO Thames"/>
              </w:rPr>
              <w:t>%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1.13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  <w:r>
              <w:rPr>
                <w:rFonts w:ascii="XO Thames" w:hAnsi="XO Thames"/>
              </w:rPr>
              <w:t xml:space="preserve"> человек/ </w:t>
            </w:r>
            <w:r>
              <w:rPr>
                <w:rFonts w:ascii="XO Thames" w:hAnsi="XO Thames"/>
              </w:rPr>
              <w:t xml:space="preserve">9,8 </w:t>
            </w:r>
            <w:r>
              <w:rPr>
                <w:rFonts w:ascii="XO Thames" w:hAnsi="XO Thames"/>
              </w:rPr>
              <w:t>%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1.14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Общая численность студентов (курсантов) образовательной организации, обучающихся в филиале образовательной организации (далее - филиал) </w:t>
            </w:r>
            <w:r>
              <w:rPr>
                <w:rFonts w:ascii="XO Thames" w:hAnsi="XO Thames"/>
                <w:color w:val="0000FF"/>
              </w:rPr>
              <w:t>&lt;*&gt;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pStyle w:val="Style_1"/>
              <w:numPr>
                <w:ilvl w:val="0"/>
                <w:numId w:val="0"/>
              </w:numPr>
              <w:ind w:firstLine="0" w:left="0"/>
              <w:jc w:val="center"/>
              <w:outlineLvl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Финансово-экономическая деятельность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pStyle w:val="Style_1"/>
              <w:ind/>
              <w:jc w:val="center"/>
              <w:rPr>
                <w:rFonts w:ascii="XO Thames" w:hAnsi="XO Thames"/>
              </w:rPr>
            </w:pP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2.1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/>
              </w:rPr>
              <w:t>124301 тыс. руб.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2.2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/>
              </w:rPr>
              <w:t>1915,3</w:t>
            </w:r>
          </w:p>
          <w:p w14:paraId="62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/>
              </w:rPr>
              <w:t>тыс. руб.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2.3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pStyle w:val="Style_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Доходы образовательной организации из средств от приносящей доход деятельности в расчете на одного педагогического работника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/>
              </w:rPr>
              <w:t>436,1</w:t>
            </w:r>
          </w:p>
          <w:p w14:paraId="66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/>
              </w:rPr>
              <w:t>тыс. руб.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2.4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/>
              </w:rPr>
              <w:t>120,4%</w:t>
            </w:r>
          </w:p>
        </w:tc>
      </w:tr>
      <w:tr>
        <w:tc>
          <w:tcPr>
            <w:tcW w:type="dxa" w:w="90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pStyle w:val="Style_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(пп. 2.4 в ред. Приказа Минобрнауки России от 15.02.2017 N 136)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pStyle w:val="Style_1"/>
              <w:numPr>
                <w:ilvl w:val="0"/>
                <w:numId w:val="0"/>
              </w:numPr>
              <w:ind w:firstLine="0" w:left="0"/>
              <w:jc w:val="center"/>
              <w:outlineLvl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3.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pStyle w:val="Style_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Инфраструктура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pStyle w:val="Style_1"/>
              <w:ind/>
              <w:jc w:val="center"/>
              <w:rPr>
                <w:rFonts w:ascii="XO Thames" w:hAnsi="XO Thames"/>
              </w:rPr>
            </w:pP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3.1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Общая площадь помещений, в которых осуществляется образовательная деятельность, в расчете на одного студента (курсанта)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3,91 кв. м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3.2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pStyle w:val="Style_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Количество компьютеров со сроком эксплуатации не более 5 лет в расчете на одного студента (курсанта)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0,09 единиц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3.3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pStyle w:val="Style_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320 человек</w:t>
            </w:r>
          </w:p>
          <w:p w14:paraId="77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100/%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pStyle w:val="Style_1"/>
              <w:numPr>
                <w:ilvl w:val="0"/>
                <w:numId w:val="0"/>
              </w:numPr>
              <w:ind w:firstLine="0" w:left="0"/>
              <w:jc w:val="center"/>
              <w:outlineLvl w:val="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Обучение инвалидов и лиц с ограниченными возможностями здоровья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pStyle w:val="Style_1"/>
              <w:ind/>
              <w:jc w:val="center"/>
              <w:rPr>
                <w:rFonts w:ascii="XO Thames" w:hAnsi="XO Thames"/>
              </w:rPr>
            </w:pP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4.1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Численность/удельный вес численности студентов (курсантов) из числа инвалидов и лиц с ограниченными возможностями здоровья, числа инвалидов и лиц с ограниченными возможностями здоровья, в общей численности студентов (курсантов)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 человек/</w:t>
            </w:r>
          </w:p>
          <w:p w14:paraId="7E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1,9%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4.2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Общее количество адаптированных образовательных программ среднего профессионального образования, в том числе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единиц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единиц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единиц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единиц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единиц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единиц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4.3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Общая численность инвалидов и лиц с ограниченными возможностями здоровья, обучающихся по программам подготовки квалифицированных рабочих, служащих, в том числе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4.3.1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 очной форме обучения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4.3.2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 очно-заочной форме обучения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4.3.3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 заочной форме обучения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4.4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квалифицированных рабочих, служащих, в том числе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4.4.1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 очной форме обучения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4.4.2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 очно-заочной форме обучения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4.4.3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 заочной форме обучения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0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0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4.5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Общая численность инвалидов и лиц с ограниченными возможностями здоровья, обучающихся по программам подготовки специалистов среднего звена, в том числе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4.5.1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 очной форме обучения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4.5.2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 очно-заочной форме обучения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4.5.3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 заочной форме обучения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4.6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специалистов среднего звена, в том числе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4.6.1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 очной форме обучения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4.6.2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 очно-заочной форме обучения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4.6.3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 заочной форме обучения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10000">
            <w:pPr>
              <w:pStyle w:val="Style_1"/>
              <w:rPr>
                <w:rFonts w:ascii="XO Thames" w:hAnsi="XO Thames"/>
              </w:rPr>
            </w:pP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 человек</w:t>
            </w:r>
          </w:p>
        </w:tc>
      </w:tr>
      <w:tr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4.7</w:t>
            </w:r>
          </w:p>
        </w:tc>
        <w:tc>
          <w:tcPr>
            <w:tcW w:type="dxa" w:w="6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10000">
            <w:pPr>
              <w:pStyle w:val="Style_1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Численность/удельный вес численности работников образовательной организации,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здоровья, в общей численности работников образовательной организации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/>
              </w:rPr>
              <w:t>11</w:t>
            </w:r>
            <w:r>
              <w:rPr>
                <w:rFonts w:ascii="XO Thames" w:hAnsi="XO Thames"/>
                <w:color w:val="000000"/>
              </w:rPr>
              <w:t xml:space="preserve"> человек/</w:t>
            </w:r>
          </w:p>
          <w:p w14:paraId="78010000">
            <w:pPr>
              <w:pStyle w:val="Style_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/>
              </w:rPr>
              <w:t xml:space="preserve">15,5 </w:t>
            </w:r>
            <w:r>
              <w:rPr>
                <w:rFonts w:ascii="XO Thames" w:hAnsi="XO Thames"/>
                <w:color w:val="000000"/>
              </w:rPr>
              <w:t>%</w:t>
            </w:r>
          </w:p>
        </w:tc>
      </w:tr>
      <w:tr>
        <w:tc>
          <w:tcPr>
            <w:tcW w:type="dxa" w:w="90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10000">
            <w:pPr>
              <w:pStyle w:val="Style_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(п. 4 введен Приказом Минобрнауки России от 15.02.2017 N 136)</w:t>
            </w:r>
          </w:p>
        </w:tc>
      </w:tr>
    </w:tbl>
    <w:p w14:paraId="7A010000">
      <w:pPr>
        <w:pStyle w:val="Style_1"/>
        <w:rPr>
          <w:rFonts w:ascii="XO Thames" w:hAnsi="XO Thames"/>
        </w:rPr>
      </w:pPr>
      <w:r>
        <w:rPr>
          <w:rFonts w:ascii="XO Thames" w:hAnsi="XO Thames"/>
        </w:rPr>
        <w:tab/>
      </w:r>
      <w:r>
        <w:rPr>
          <w:rFonts w:ascii="XO Thames" w:hAnsi="XO Thames"/>
        </w:rPr>
        <w:tab/>
      </w:r>
      <w:r>
        <w:rPr>
          <w:rFonts w:ascii="XO Thames" w:hAnsi="XO Thames"/>
        </w:rPr>
        <w:t xml:space="preserve">        </w:t>
      </w:r>
    </w:p>
    <w:p w14:paraId="7B010000">
      <w:pPr>
        <w:pStyle w:val="Style_1"/>
        <w:ind/>
        <w:jc w:val="center"/>
        <w:rPr>
          <w:rFonts w:ascii="XO Thames" w:hAnsi="XO Thames"/>
        </w:rPr>
      </w:pPr>
      <w:r>
        <w:rPr>
          <w:rFonts w:ascii="XO Thames" w:hAnsi="XO Thames"/>
        </w:rPr>
        <w:t xml:space="preserve">Директор </w:t>
      </w:r>
      <w:r>
        <w:rPr>
          <w:rFonts w:ascii="XO Thames" w:hAnsi="XO Thames"/>
        </w:rPr>
        <w:tab/>
      </w:r>
      <w:r>
        <w:rPr>
          <w:rFonts w:ascii="XO Thames" w:hAnsi="XO Thames"/>
        </w:rPr>
        <w:tab/>
      </w:r>
      <w:r>
        <w:rPr>
          <w:rFonts w:ascii="XO Thames" w:hAnsi="XO Thames"/>
        </w:rPr>
        <w:tab/>
      </w:r>
      <w:r>
        <w:rPr>
          <w:rFonts w:ascii="XO Thames" w:hAnsi="XO Thames"/>
        </w:rPr>
        <w:tab/>
      </w:r>
      <w:r>
        <w:rPr>
          <w:rFonts w:ascii="XO Thames" w:hAnsi="XO Thames"/>
        </w:rPr>
        <w:tab/>
      </w:r>
      <w:r>
        <w:rPr>
          <w:rFonts w:ascii="XO Thames" w:hAnsi="XO Thames"/>
        </w:rPr>
        <w:t>А. А. Зарипова</w:t>
      </w:r>
    </w:p>
    <w:sectPr>
      <w:type w:val="nextPage"/>
      <w:pgSz w:h="16838" w:orient="portrait" w:w="11906"/>
      <w:pgMar w:bottom="993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200" w:before="0" w:line="276" w:lineRule="auto"/>
      <w:ind/>
      <w:jc w:val="left"/>
    </w:pPr>
    <w:rPr>
      <w:rFonts w:ascii="Calibri" w:hAnsi="Calibri"/>
      <w:color w:val="000000"/>
      <w:sz w:val="22"/>
    </w:rPr>
  </w:style>
  <w:style w:default="1" w:styleId="Style_4_ch" w:type="character">
    <w:name w:val="Normal"/>
    <w:link w:val="Style_4"/>
    <w:rPr>
      <w:rFonts w:ascii="Calibri" w:hAnsi="Calibri"/>
      <w:color w:val="000000"/>
      <w:sz w:val="22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Caption"/>
    <w:basedOn w:val="Style_4"/>
    <w:link w:val="Style_7_ch"/>
    <w:pPr>
      <w:spacing w:after="120" w:before="120"/>
      <w:ind/>
    </w:pPr>
    <w:rPr>
      <w:i w:val="1"/>
      <w:sz w:val="24"/>
    </w:rPr>
  </w:style>
  <w:style w:styleId="Style_7_ch" w:type="character">
    <w:name w:val="Caption"/>
    <w:basedOn w:val="Style_4_ch"/>
    <w:link w:val="Style_7"/>
    <w:rPr>
      <w:i w:val="1"/>
      <w:sz w:val="24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2" w:type="paragraph">
    <w:name w:val="ConsPlusTitle"/>
    <w:link w:val="Style_2_ch"/>
    <w:pPr>
      <w:widowControl w:val="0"/>
      <w:spacing w:after="0" w:before="0" w:line="240" w:lineRule="auto"/>
      <w:ind/>
      <w:jc w:val="left"/>
    </w:pPr>
    <w:rPr>
      <w:rFonts w:ascii="Arial" w:hAnsi="Arial"/>
      <w:b w:val="1"/>
      <w:color w:val="000000"/>
      <w:sz w:val="24"/>
    </w:rPr>
  </w:style>
  <w:style w:styleId="Style_2_ch" w:type="character">
    <w:name w:val="ConsPlusTitle"/>
    <w:link w:val="Style_2"/>
    <w:rPr>
      <w:rFonts w:ascii="Arial" w:hAnsi="Arial"/>
      <w:b w:val="1"/>
      <w:color w:val="000000"/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Body Text"/>
    <w:basedOn w:val="Style_4"/>
    <w:link w:val="Style_13_ch"/>
    <w:pPr>
      <w:spacing w:after="140" w:before="0" w:line="276" w:lineRule="auto"/>
      <w:ind/>
    </w:pPr>
  </w:style>
  <w:style w:styleId="Style_13_ch" w:type="character">
    <w:name w:val="Body Text"/>
    <w:basedOn w:val="Style_4_ch"/>
    <w:link w:val="Style_13"/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Содержимое таблицы"/>
    <w:basedOn w:val="Style_4"/>
    <w:link w:val="Style_15_ch"/>
    <w:pPr>
      <w:widowControl w:val="0"/>
      <w:ind/>
    </w:pPr>
  </w:style>
  <w:style w:styleId="Style_15_ch" w:type="character">
    <w:name w:val="Содержимое таблицы"/>
    <w:basedOn w:val="Style_4_ch"/>
    <w:link w:val="Style_15"/>
  </w:style>
  <w:style w:styleId="Style_1" w:type="paragraph">
    <w:name w:val="ConsPlusNormal"/>
    <w:link w:val="Style_1_ch"/>
    <w:pPr>
      <w:widowControl w:val="0"/>
      <w:spacing w:after="0" w:before="0" w:line="240" w:lineRule="auto"/>
      <w:ind/>
      <w:jc w:val="left"/>
    </w:pPr>
    <w:rPr>
      <w:rFonts w:ascii="Times New Roman" w:hAnsi="Times New Roman"/>
      <w:color w:val="000000"/>
      <w:sz w:val="24"/>
    </w:rPr>
  </w:style>
  <w:style w:styleId="Style_1_ch" w:type="character">
    <w:name w:val="ConsPlusNormal"/>
    <w:link w:val="Style_1"/>
    <w:rPr>
      <w:rFonts w:ascii="Times New Roman" w:hAnsi="Times New Roman"/>
      <w:color w:val="000000"/>
      <w:sz w:val="24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80"/>
      <w:u w:val="single"/>
    </w:rPr>
  </w:style>
  <w:style w:styleId="Style_18_ch" w:type="character">
    <w:name w:val="Hyperlink"/>
    <w:link w:val="Style_18"/>
    <w:rPr>
      <w:color w:val="000080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Заголовок таблицы"/>
    <w:basedOn w:val="Style_15"/>
    <w:link w:val="Style_21_ch"/>
    <w:pPr>
      <w:ind/>
      <w:jc w:val="center"/>
    </w:pPr>
    <w:rPr>
      <w:b w:val="1"/>
    </w:rPr>
  </w:style>
  <w:style w:styleId="Style_21_ch" w:type="character">
    <w:name w:val="Заголовок таблицы"/>
    <w:basedOn w:val="Style_15_ch"/>
    <w:link w:val="Style_21"/>
    <w:rPr>
      <w:b w:val="1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List"/>
    <w:basedOn w:val="Style_13"/>
    <w:link w:val="Style_23_ch"/>
  </w:style>
  <w:style w:styleId="Style_23_ch" w:type="character">
    <w:name w:val="List"/>
    <w:basedOn w:val="Style_13_ch"/>
    <w:link w:val="Style_23"/>
  </w:style>
  <w:style w:styleId="Style_24" w:type="paragraph">
    <w:name w:val="toc 9"/>
    <w:next w:val="Style_4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Указатель"/>
    <w:basedOn w:val="Style_4"/>
    <w:link w:val="Style_25_ch"/>
  </w:style>
  <w:style w:styleId="Style_25_ch" w:type="character">
    <w:name w:val="Указатель"/>
    <w:basedOn w:val="Style_4_ch"/>
    <w:link w:val="Style_25"/>
  </w:style>
  <w:style w:styleId="Style_26" w:type="paragraph">
    <w:name w:val="toc 8"/>
    <w:next w:val="Style_4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4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Заголовок"/>
    <w:basedOn w:val="Style_4"/>
    <w:next w:val="Style_13"/>
    <w:link w:val="Style_28_ch"/>
    <w:pPr>
      <w:keepNext w:val="1"/>
      <w:spacing w:after="120" w:before="240"/>
      <w:ind/>
    </w:pPr>
    <w:rPr>
      <w:rFonts w:ascii="Open Sans" w:hAnsi="Open Sans"/>
      <w:sz w:val="28"/>
    </w:rPr>
  </w:style>
  <w:style w:styleId="Style_28_ch" w:type="character">
    <w:name w:val="Заголовок"/>
    <w:basedOn w:val="Style_4_ch"/>
    <w:link w:val="Style_28"/>
    <w:rPr>
      <w:rFonts w:ascii="Open Sans" w:hAnsi="Open Sans"/>
      <w:sz w:val="28"/>
    </w:rPr>
  </w:style>
  <w:style w:styleId="Style_29" w:type="paragraph">
    <w:name w:val="Subtitle"/>
    <w:next w:val="Style_4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4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4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4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2025-03-25T08:10:29Z</dcterms:modified>
</cp:coreProperties>
</file>